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C93DBD">
        <w:rPr>
          <w:rFonts w:ascii="Times New Roman" w:eastAsia="Calibri" w:hAnsi="Times New Roman" w:cs="Times New Roman"/>
          <w:b/>
        </w:rPr>
        <w:t>Аннотация к рабочей программе по геометрии 8 класс, ФГОС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gramStart"/>
      <w:r w:rsidRPr="00C93DBD">
        <w:rPr>
          <w:rFonts w:ascii="Times New Roman" w:eastAsia="Calibri" w:hAnsi="Times New Roman" w:cs="Times New Roman"/>
        </w:rPr>
        <w:t xml:space="preserve">Программа основного курса геометрии составлена в соответствии с требованиями федерального государственного образовательного стандарта второго поколения основного общего образования, с примерной программой по курсу геометрии (7 – 9 классы), созданной на основе единой концепции преподавания математики в средней школе, разработанной </w:t>
      </w:r>
      <w:proofErr w:type="spellStart"/>
      <w:r w:rsidRPr="00C93DBD">
        <w:rPr>
          <w:rFonts w:ascii="Times New Roman" w:eastAsia="Calibri" w:hAnsi="Times New Roman" w:cs="Times New Roman"/>
        </w:rPr>
        <w:t>А.Г.Мерзляком</w:t>
      </w:r>
      <w:proofErr w:type="spellEnd"/>
      <w:r w:rsidRPr="00C93DBD">
        <w:rPr>
          <w:rFonts w:ascii="Times New Roman" w:eastAsia="Calibri" w:hAnsi="Times New Roman" w:cs="Times New Roman"/>
        </w:rPr>
        <w:t xml:space="preserve">, </w:t>
      </w:r>
      <w:proofErr w:type="spellStart"/>
      <w:r w:rsidRPr="00C93DBD">
        <w:rPr>
          <w:rFonts w:ascii="Times New Roman" w:eastAsia="Calibri" w:hAnsi="Times New Roman" w:cs="Times New Roman"/>
        </w:rPr>
        <w:t>В.Б.Полонским</w:t>
      </w:r>
      <w:proofErr w:type="spellEnd"/>
      <w:r w:rsidRPr="00C93DBD">
        <w:rPr>
          <w:rFonts w:ascii="Times New Roman" w:eastAsia="Calibri" w:hAnsi="Times New Roman" w:cs="Times New Roman"/>
        </w:rPr>
        <w:t xml:space="preserve">, </w:t>
      </w:r>
      <w:proofErr w:type="spellStart"/>
      <w:r w:rsidRPr="00C93DBD">
        <w:rPr>
          <w:rFonts w:ascii="Times New Roman" w:eastAsia="Calibri" w:hAnsi="Times New Roman" w:cs="Times New Roman"/>
        </w:rPr>
        <w:t>М.С.Якиром</w:t>
      </w:r>
      <w:proofErr w:type="spellEnd"/>
      <w:r w:rsidRPr="00C93DBD">
        <w:rPr>
          <w:rFonts w:ascii="Times New Roman" w:eastAsia="Calibri" w:hAnsi="Times New Roman" w:cs="Times New Roman"/>
        </w:rPr>
        <w:t xml:space="preserve">, Д.А. </w:t>
      </w:r>
      <w:proofErr w:type="spellStart"/>
      <w:r w:rsidRPr="00C93DBD">
        <w:rPr>
          <w:rFonts w:ascii="Times New Roman" w:eastAsia="Calibri" w:hAnsi="Times New Roman" w:cs="Times New Roman"/>
        </w:rPr>
        <w:t>Номировским</w:t>
      </w:r>
      <w:proofErr w:type="spellEnd"/>
      <w:r w:rsidRPr="00C93DBD">
        <w:rPr>
          <w:rFonts w:ascii="Times New Roman" w:eastAsia="Calibri" w:hAnsi="Times New Roman" w:cs="Times New Roman"/>
        </w:rPr>
        <w:t xml:space="preserve">, включенных в систему «Алгоритм успеха» (М.: </w:t>
      </w:r>
      <w:proofErr w:type="spellStart"/>
      <w:r w:rsidRPr="00C93DBD">
        <w:rPr>
          <w:rFonts w:ascii="Times New Roman" w:eastAsia="Calibri" w:hAnsi="Times New Roman" w:cs="Times New Roman"/>
        </w:rPr>
        <w:t>Вентана</w:t>
      </w:r>
      <w:proofErr w:type="spellEnd"/>
      <w:r w:rsidRPr="00C93DBD">
        <w:rPr>
          <w:rFonts w:ascii="Times New Roman" w:eastAsia="Calibri" w:hAnsi="Times New Roman" w:cs="Times New Roman"/>
        </w:rPr>
        <w:t>-Граф, 2014) и обеспечена</w:t>
      </w:r>
      <w:proofErr w:type="gramEnd"/>
      <w:r w:rsidRPr="00C93DBD">
        <w:rPr>
          <w:rFonts w:ascii="Times New Roman" w:eastAsia="Calibri" w:hAnsi="Times New Roman" w:cs="Times New Roman"/>
        </w:rPr>
        <w:t xml:space="preserve"> УМК для  «Геометрия – 8» / </w:t>
      </w:r>
      <w:proofErr w:type="spellStart"/>
      <w:r w:rsidRPr="00C93DBD">
        <w:rPr>
          <w:rFonts w:ascii="Times New Roman" w:eastAsia="Calibri" w:hAnsi="Times New Roman" w:cs="Times New Roman"/>
        </w:rPr>
        <w:t>А.Г.Мерзляк</w:t>
      </w:r>
      <w:proofErr w:type="spellEnd"/>
      <w:r w:rsidRPr="00C93DBD">
        <w:rPr>
          <w:rFonts w:ascii="Times New Roman" w:eastAsia="Calibri" w:hAnsi="Times New Roman" w:cs="Times New Roman"/>
        </w:rPr>
        <w:t xml:space="preserve">, </w:t>
      </w:r>
      <w:proofErr w:type="spellStart"/>
      <w:r w:rsidRPr="00C93DBD">
        <w:rPr>
          <w:rFonts w:ascii="Times New Roman" w:eastAsia="Calibri" w:hAnsi="Times New Roman" w:cs="Times New Roman"/>
        </w:rPr>
        <w:t>В.Б.Полонский</w:t>
      </w:r>
      <w:proofErr w:type="spellEnd"/>
      <w:r w:rsidRPr="00C93DBD">
        <w:rPr>
          <w:rFonts w:ascii="Times New Roman" w:eastAsia="Calibri" w:hAnsi="Times New Roman" w:cs="Times New Roman"/>
        </w:rPr>
        <w:t xml:space="preserve">, </w:t>
      </w:r>
      <w:proofErr w:type="spellStart"/>
      <w:r w:rsidRPr="00C93DBD">
        <w:rPr>
          <w:rFonts w:ascii="Times New Roman" w:eastAsia="Calibri" w:hAnsi="Times New Roman" w:cs="Times New Roman"/>
        </w:rPr>
        <w:t>М.С.Якир</w:t>
      </w:r>
      <w:proofErr w:type="spellEnd"/>
      <w:r w:rsidRPr="00C93DBD">
        <w:rPr>
          <w:rFonts w:ascii="Times New Roman" w:eastAsia="Calibri" w:hAnsi="Times New Roman" w:cs="Times New Roman"/>
        </w:rPr>
        <w:t xml:space="preserve">/М.: </w:t>
      </w:r>
      <w:proofErr w:type="spellStart"/>
      <w:r w:rsidRPr="00C93DBD">
        <w:rPr>
          <w:rFonts w:ascii="Times New Roman" w:eastAsia="Calibri" w:hAnsi="Times New Roman" w:cs="Times New Roman"/>
        </w:rPr>
        <w:t>Вентана</w:t>
      </w:r>
      <w:proofErr w:type="spellEnd"/>
      <w:r w:rsidRPr="00C93DBD">
        <w:rPr>
          <w:rFonts w:ascii="Times New Roman" w:eastAsia="Calibri" w:hAnsi="Times New Roman" w:cs="Times New Roman"/>
        </w:rPr>
        <w:t xml:space="preserve">-Граф, 2014. и скорректирована на основе авторской программы по математике для УМК А.Г. Мерзляка и др. (Математика : рабочие программы : 5—11 классы / А. Г. </w:t>
      </w:r>
      <w:proofErr w:type="spellStart"/>
      <w:r w:rsidRPr="00C93DBD">
        <w:rPr>
          <w:rFonts w:ascii="Times New Roman" w:eastAsia="Calibri" w:hAnsi="Times New Roman" w:cs="Times New Roman"/>
        </w:rPr>
        <w:t>Мерзляк</w:t>
      </w:r>
      <w:proofErr w:type="gramStart"/>
      <w:r w:rsidRPr="00C93DBD">
        <w:rPr>
          <w:rFonts w:ascii="Times New Roman" w:eastAsia="Calibri" w:hAnsi="Times New Roman" w:cs="Times New Roman"/>
        </w:rPr>
        <w:t>,В</w:t>
      </w:r>
      <w:proofErr w:type="spellEnd"/>
      <w:proofErr w:type="gramEnd"/>
      <w:r w:rsidRPr="00C93DBD">
        <w:rPr>
          <w:rFonts w:ascii="Times New Roman" w:eastAsia="Calibri" w:hAnsi="Times New Roman" w:cs="Times New Roman"/>
        </w:rPr>
        <w:t xml:space="preserve">. Б. Полонский, М. С. Якир, Е. В. Буцко. — 2-е изд., </w:t>
      </w:r>
      <w:proofErr w:type="spellStart"/>
      <w:r w:rsidRPr="00C93DBD">
        <w:rPr>
          <w:rFonts w:ascii="Times New Roman" w:eastAsia="Calibri" w:hAnsi="Times New Roman" w:cs="Times New Roman"/>
        </w:rPr>
        <w:t>перераб</w:t>
      </w:r>
      <w:proofErr w:type="spellEnd"/>
      <w:r w:rsidRPr="00C93DBD">
        <w:rPr>
          <w:rFonts w:ascii="Times New Roman" w:eastAsia="Calibri" w:hAnsi="Times New Roman" w:cs="Times New Roman"/>
        </w:rPr>
        <w:t>. — М.</w:t>
      </w:r>
      <w:proofErr w:type="gramStart"/>
      <w:r w:rsidRPr="00C93DBD">
        <w:rPr>
          <w:rFonts w:ascii="Times New Roman" w:eastAsia="Calibri" w:hAnsi="Times New Roman" w:cs="Times New Roman"/>
        </w:rPr>
        <w:t xml:space="preserve"> :</w:t>
      </w:r>
      <w:proofErr w:type="gramEnd"/>
      <w:r w:rsidRPr="00C93DBD">
        <w:rPr>
          <w:rFonts w:ascii="Times New Roman" w:eastAsia="Calibri" w:hAnsi="Times New Roman" w:cs="Times New Roman"/>
        </w:rPr>
        <w:t xml:space="preserve"> </w:t>
      </w:r>
      <w:proofErr w:type="spellStart"/>
      <w:r w:rsidRPr="00C93DBD">
        <w:rPr>
          <w:rFonts w:ascii="Times New Roman" w:eastAsia="Calibri" w:hAnsi="Times New Roman" w:cs="Times New Roman"/>
        </w:rPr>
        <w:t>Вентана</w:t>
      </w:r>
      <w:proofErr w:type="spellEnd"/>
      <w:r w:rsidRPr="00C93DBD">
        <w:rPr>
          <w:rFonts w:ascii="Times New Roman" w:eastAsia="Calibri" w:hAnsi="Times New Roman" w:cs="Times New Roman"/>
        </w:rPr>
        <w:t>-Граф, 2017. — 164 с.).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  <w:b/>
          <w:bCs/>
        </w:rPr>
        <w:t xml:space="preserve">Уровень обучения </w:t>
      </w:r>
      <w:r w:rsidRPr="00C93DBD">
        <w:rPr>
          <w:rFonts w:ascii="Times New Roman" w:eastAsia="Calibri" w:hAnsi="Times New Roman" w:cs="Times New Roman"/>
        </w:rPr>
        <w:t>– базовый.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93DBD">
        <w:rPr>
          <w:rFonts w:ascii="Times New Roman" w:eastAsia="Calibri" w:hAnsi="Times New Roman" w:cs="Times New Roman"/>
          <w:b/>
          <w:bCs/>
        </w:rPr>
        <w:t>Нормативно-правовая база: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C93DBD">
        <w:rPr>
          <w:rFonts w:ascii="Times New Roman" w:eastAsia="Calibri" w:hAnsi="Times New Roman" w:cs="Times New Roman"/>
          <w:b/>
          <w:bCs/>
          <w:i/>
          <w:iCs/>
        </w:rPr>
        <w:t>Федеральный уровень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1. Федеральный закон от 29.12.2012 г. № 273-ФЗ «Об образовании в Российской Федерации» (с изм., внесенными Федеральными законами от 04.06.2014 г. № 145-ФЗ, от 06.04.2015 г. № 68-ФЗ) // http://www.consultant.ru/;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http://www.garant.ru/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2. </w:t>
      </w:r>
      <w:proofErr w:type="gramStart"/>
      <w:r w:rsidRPr="00C93DBD">
        <w:rPr>
          <w:rFonts w:ascii="Times New Roman" w:eastAsia="Calibri" w:hAnsi="Times New Roman" w:cs="Times New Roman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93DBD">
        <w:rPr>
          <w:rFonts w:ascii="Times New Roman" w:eastAsia="Calibri" w:hAnsi="Times New Roman" w:cs="Times New Roman"/>
        </w:rPr>
        <w:t>Минобрнауки</w:t>
      </w:r>
      <w:proofErr w:type="spellEnd"/>
      <w:r w:rsidRPr="00C93DBD">
        <w:rPr>
          <w:rFonts w:ascii="Times New Roman" w:eastAsia="Calibri" w:hAnsi="Times New Roman" w:cs="Times New Roman"/>
        </w:rPr>
        <w:t xml:space="preserve"> России от 08.06.2015 г. № 576, от 28.12.2015 г. № 1529, от 26.01.2016 г. № 38) // </w:t>
      </w:r>
      <w:hyperlink r:id="rId5" w:history="1">
        <w:r w:rsidRPr="00C93DBD">
          <w:rPr>
            <w:rFonts w:ascii="Times New Roman" w:eastAsia="Calibri" w:hAnsi="Times New Roman" w:cs="Times New Roman"/>
            <w:color w:val="0000FF"/>
            <w:u w:val="single"/>
          </w:rPr>
          <w:t>http://www.consultant.ru/</w:t>
        </w:r>
      </w:hyperlink>
      <w:r w:rsidRPr="00C93DBD">
        <w:rPr>
          <w:rFonts w:ascii="Times New Roman" w:eastAsia="Calibri" w:hAnsi="Times New Roman" w:cs="Times New Roman"/>
        </w:rPr>
        <w:t>;</w:t>
      </w:r>
      <w:proofErr w:type="gramEnd"/>
      <w:r w:rsidRPr="00C93DB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C93DBD">
          <w:rPr>
            <w:rFonts w:ascii="Times New Roman" w:eastAsia="Calibri" w:hAnsi="Times New Roman" w:cs="Times New Roman"/>
            <w:color w:val="0000FF"/>
            <w:u w:val="single"/>
          </w:rPr>
          <w:t>http://www.garant.ru/</w:t>
        </w:r>
      </w:hyperlink>
      <w:r w:rsidRPr="00C93DBD">
        <w:rPr>
          <w:rFonts w:ascii="Times New Roman" w:eastAsia="Calibri" w:hAnsi="Times New Roman" w:cs="Times New Roman"/>
        </w:rPr>
        <w:t xml:space="preserve"> 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3. Распоряжение Правительства Российской Федерации от 24.12.2013 г. № 2506-р «Об утверждении Концепции математического образования в Российской Федерации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4. Положение о рабочих программах учебных предметов, курсов, дисциплин МКОУ </w:t>
      </w:r>
      <w:proofErr w:type="spellStart"/>
      <w:r w:rsidRPr="00C93DBD">
        <w:rPr>
          <w:rFonts w:ascii="Times New Roman" w:eastAsia="Calibri" w:hAnsi="Times New Roman" w:cs="Times New Roman"/>
        </w:rPr>
        <w:t>Говорковская</w:t>
      </w:r>
      <w:proofErr w:type="spellEnd"/>
      <w:r w:rsidRPr="00C93DBD">
        <w:rPr>
          <w:rFonts w:ascii="Times New Roman" w:eastAsia="Calibri" w:hAnsi="Times New Roman" w:cs="Times New Roman"/>
        </w:rPr>
        <w:t xml:space="preserve"> школа.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5. Учебный план МКОУ </w:t>
      </w:r>
      <w:proofErr w:type="spellStart"/>
      <w:r w:rsidRPr="00C93DBD">
        <w:rPr>
          <w:rFonts w:ascii="Times New Roman" w:eastAsia="Calibri" w:hAnsi="Times New Roman" w:cs="Times New Roman"/>
        </w:rPr>
        <w:t>Говорковской</w:t>
      </w:r>
      <w:proofErr w:type="spellEnd"/>
      <w:r w:rsidRPr="00C93DBD">
        <w:rPr>
          <w:rFonts w:ascii="Times New Roman" w:eastAsia="Calibri" w:hAnsi="Times New Roman" w:cs="Times New Roman"/>
        </w:rPr>
        <w:t xml:space="preserve"> школы на 2020-2021 уч. Год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  <w:b/>
        </w:rPr>
        <w:t>Одной из основных целей</w:t>
      </w:r>
      <w:r w:rsidRPr="00C93DBD">
        <w:rPr>
          <w:rFonts w:ascii="Times New Roman" w:eastAsia="Calibri" w:hAnsi="Times New Roman" w:cs="Times New Roman"/>
        </w:rPr>
        <w:t xml:space="preserve"> изучения геометрии является развитие мышления, прежде всего формирование 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C93DBD">
        <w:rPr>
          <w:rFonts w:ascii="Times New Roman" w:eastAsia="Calibri" w:hAnsi="Times New Roman" w:cs="Times New Roman"/>
          <w:i/>
          <w:iCs/>
        </w:rPr>
        <w:t>целей: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93DBD">
        <w:rPr>
          <w:rFonts w:ascii="Times New Roman" w:eastAsia="Calibri" w:hAnsi="Times New Roman" w:cs="Times New Roman"/>
        </w:rPr>
        <w:t xml:space="preserve">1) </w:t>
      </w:r>
      <w:r w:rsidRPr="00C93DBD">
        <w:rPr>
          <w:rFonts w:ascii="Times New Roman" w:eastAsia="Calibri" w:hAnsi="Times New Roman" w:cs="Times New Roman"/>
          <w:i/>
          <w:iCs/>
        </w:rPr>
        <w:t>в направлении личностного развития: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Развитие логического и критического мышления, культуры речи, способности к умственному эксперименту;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Воспитание качеств личности, обеспечивающих социальную мобильность, способность принимать самостоятельные решения;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Формирование качеств мышления, необходимых для адаптации в современном информационном обществе;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Развитие интереса к математическому творчеству и математических способностей;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93DBD">
        <w:rPr>
          <w:rFonts w:ascii="Times New Roman" w:eastAsia="Calibri" w:hAnsi="Times New Roman" w:cs="Times New Roman"/>
        </w:rPr>
        <w:t xml:space="preserve">2) </w:t>
      </w:r>
      <w:r w:rsidRPr="00C93DBD">
        <w:rPr>
          <w:rFonts w:ascii="Times New Roman" w:eastAsia="Calibri" w:hAnsi="Times New Roman" w:cs="Times New Roman"/>
          <w:i/>
          <w:iCs/>
        </w:rPr>
        <w:t xml:space="preserve">в </w:t>
      </w:r>
      <w:proofErr w:type="spellStart"/>
      <w:r w:rsidRPr="00C93DBD">
        <w:rPr>
          <w:rFonts w:ascii="Times New Roman" w:eastAsia="Calibri" w:hAnsi="Times New Roman" w:cs="Times New Roman"/>
          <w:i/>
          <w:iCs/>
        </w:rPr>
        <w:t>метапредметном</w:t>
      </w:r>
      <w:proofErr w:type="spellEnd"/>
      <w:r w:rsidRPr="00C93DBD">
        <w:rPr>
          <w:rFonts w:ascii="Times New Roman" w:eastAsia="Calibri" w:hAnsi="Times New Roman" w:cs="Times New Roman"/>
          <w:i/>
          <w:iCs/>
        </w:rPr>
        <w:t xml:space="preserve"> направлении: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Развитие представлений о математике как форме описания и методе познания действительности, создание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условий для приобретения первоначального опыта математического моделирования;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93DBD">
        <w:rPr>
          <w:rFonts w:ascii="Times New Roman" w:eastAsia="Calibri" w:hAnsi="Times New Roman" w:cs="Times New Roman"/>
        </w:rPr>
        <w:t xml:space="preserve">3) </w:t>
      </w:r>
      <w:r w:rsidRPr="00C93DBD">
        <w:rPr>
          <w:rFonts w:ascii="Times New Roman" w:eastAsia="Calibri" w:hAnsi="Times New Roman" w:cs="Times New Roman"/>
          <w:i/>
          <w:iCs/>
        </w:rPr>
        <w:t>в предметном направлении: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>Овладение математическими знаниями и умениями, необходимыми для продолжения образования, изучения  смежных дисциплин, применения в повседневной жизни;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></w:t>
      </w:r>
      <w:r w:rsidRPr="00C93DBD">
        <w:rPr>
          <w:rFonts w:ascii="Times New Roman" w:eastAsia="Calibri" w:hAnsi="Times New Roman" w:cs="Times New Roman"/>
        </w:rPr>
        <w:t xml:space="preserve">Создание фундамента для математического развития, формирования механизмов мышления, характерных для математической деятельности. В организации учебно-воспитательного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 </w:t>
      </w:r>
      <w:proofErr w:type="spellStart"/>
      <w:r w:rsidRPr="00C93DBD">
        <w:rPr>
          <w:rFonts w:ascii="Times New Roman" w:eastAsia="Calibri" w:hAnsi="Times New Roman" w:cs="Times New Roman"/>
        </w:rPr>
        <w:t>теоретичес</w:t>
      </w:r>
      <w:proofErr w:type="spellEnd"/>
      <w:r w:rsidRPr="00C93DBD">
        <w:rPr>
          <w:rFonts w:ascii="Times New Roman" w:eastAsia="Calibri" w:hAnsi="Times New Roman" w:cs="Times New Roman"/>
        </w:rPr>
        <w:t>-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ких обобщений и дедуктивных заключений. Прикладная направленность раскрывает возможность изучать и решать  практические задачи. В основе построения данного курса лежит идея </w:t>
      </w:r>
      <w:proofErr w:type="spellStart"/>
      <w:r w:rsidRPr="00C93DBD">
        <w:rPr>
          <w:rFonts w:ascii="Times New Roman" w:eastAsia="Calibri" w:hAnsi="Times New Roman" w:cs="Times New Roman"/>
        </w:rPr>
        <w:t>гуманизации</w:t>
      </w:r>
      <w:proofErr w:type="spellEnd"/>
      <w:r w:rsidRPr="00C93DBD">
        <w:rPr>
          <w:rFonts w:ascii="Times New Roman" w:eastAsia="Calibri" w:hAnsi="Times New Roman" w:cs="Times New Roman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Предлагаемый курс позволяет обеспечить </w:t>
      </w:r>
      <w:proofErr w:type="gramStart"/>
      <w:r w:rsidRPr="00C93DBD">
        <w:rPr>
          <w:rFonts w:ascii="Times New Roman" w:eastAsia="Calibri" w:hAnsi="Times New Roman" w:cs="Times New Roman"/>
        </w:rPr>
        <w:t>формирование</w:t>
      </w:r>
      <w:proofErr w:type="gramEnd"/>
      <w:r w:rsidRPr="00C93DBD">
        <w:rPr>
          <w:rFonts w:ascii="Times New Roman" w:eastAsia="Calibri" w:hAnsi="Times New Roman" w:cs="Times New Roman"/>
        </w:rPr>
        <w:t xml:space="preserve"> как </w:t>
      </w:r>
      <w:r w:rsidRPr="00C93DBD">
        <w:rPr>
          <w:rFonts w:ascii="Times New Roman" w:eastAsia="Calibri" w:hAnsi="Times New Roman" w:cs="Times New Roman"/>
          <w:i/>
          <w:iCs/>
        </w:rPr>
        <w:t xml:space="preserve">предметных </w:t>
      </w:r>
      <w:r w:rsidRPr="00C93DBD">
        <w:rPr>
          <w:rFonts w:ascii="Times New Roman" w:eastAsia="Calibri" w:hAnsi="Times New Roman" w:cs="Times New Roman"/>
        </w:rPr>
        <w:t>умений</w:t>
      </w:r>
      <w:r w:rsidRPr="00C93DBD">
        <w:rPr>
          <w:rFonts w:ascii="Times New Roman" w:eastAsia="Calibri" w:hAnsi="Times New Roman" w:cs="Times New Roman"/>
          <w:i/>
          <w:iCs/>
        </w:rPr>
        <w:t xml:space="preserve">, </w:t>
      </w:r>
      <w:r w:rsidRPr="00C93DBD">
        <w:rPr>
          <w:rFonts w:ascii="Times New Roman" w:eastAsia="Calibri" w:hAnsi="Times New Roman" w:cs="Times New Roman"/>
        </w:rPr>
        <w:t xml:space="preserve">так и </w:t>
      </w:r>
      <w:r w:rsidRPr="00C93DBD">
        <w:rPr>
          <w:rFonts w:ascii="Times New Roman" w:eastAsia="Calibri" w:hAnsi="Times New Roman" w:cs="Times New Roman"/>
          <w:i/>
          <w:iCs/>
        </w:rPr>
        <w:t xml:space="preserve">универсальных учебных  действий </w:t>
      </w:r>
      <w:r w:rsidRPr="00C93DBD">
        <w:rPr>
          <w:rFonts w:ascii="Times New Roman" w:eastAsia="Calibri" w:hAnsi="Times New Roman" w:cs="Times New Roman"/>
        </w:rPr>
        <w:t xml:space="preserve">школьников, а также способствует достижению </w:t>
      </w:r>
      <w:proofErr w:type="spellStart"/>
      <w:r w:rsidRPr="00C93DBD">
        <w:rPr>
          <w:rFonts w:ascii="Times New Roman" w:eastAsia="Calibri" w:hAnsi="Times New Roman" w:cs="Times New Roman"/>
        </w:rPr>
        <w:t>определѐнных</w:t>
      </w:r>
      <w:proofErr w:type="spellEnd"/>
      <w:r w:rsidRPr="00C93DBD">
        <w:rPr>
          <w:rFonts w:ascii="Times New Roman" w:eastAsia="Calibri" w:hAnsi="Times New Roman" w:cs="Times New Roman"/>
        </w:rPr>
        <w:t xml:space="preserve"> во ФГОС личностных результатов, </w:t>
      </w:r>
      <w:r w:rsidRPr="00C93DBD">
        <w:rPr>
          <w:rFonts w:ascii="Times New Roman" w:eastAsia="Calibri" w:hAnsi="Times New Roman" w:cs="Times New Roman"/>
        </w:rPr>
        <w:lastRenderedPageBreak/>
        <w:t>которые в</w:t>
      </w:r>
      <w:r w:rsidRPr="00C93DBD">
        <w:rPr>
          <w:rFonts w:ascii="Times New Roman" w:eastAsia="Calibri" w:hAnsi="Times New Roman" w:cs="Times New Roman"/>
          <w:i/>
          <w:iCs/>
        </w:rPr>
        <w:t xml:space="preserve"> </w:t>
      </w:r>
      <w:r w:rsidRPr="00C93DBD">
        <w:rPr>
          <w:rFonts w:ascii="Times New Roman" w:eastAsia="Calibri" w:hAnsi="Times New Roman" w:cs="Times New Roman"/>
        </w:rPr>
        <w:t>дальнейшем позволят учащимся применять полученные знания и умения для решения различных жизненных задач.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C93DBD">
        <w:rPr>
          <w:rFonts w:ascii="Times New Roman" w:eastAsia="Calibri" w:hAnsi="Times New Roman" w:cs="Times New Roman"/>
        </w:rPr>
        <w:t xml:space="preserve">В соответствии с требованиями Федерального государственного образовательного стандарта основного общего образования в 7–9 классах предмет «Математика» делится на два предмета: «Алгебра» и «Геометрия». Общее количество уроков геометрии в неделю в 8 классе 2 часа; в году -  </w:t>
      </w:r>
      <w:proofErr w:type="gramStart"/>
      <w:r w:rsidRPr="00C93DBD">
        <w:rPr>
          <w:rFonts w:ascii="Times New Roman" w:eastAsia="Calibri" w:hAnsi="Times New Roman" w:cs="Times New Roman"/>
        </w:rPr>
        <w:t>согласно</w:t>
      </w:r>
      <w:proofErr w:type="gramEnd"/>
      <w:r w:rsidRPr="00C93DBD">
        <w:rPr>
          <w:rFonts w:ascii="Times New Roman" w:eastAsia="Calibri" w:hAnsi="Times New Roman" w:cs="Times New Roman"/>
        </w:rPr>
        <w:t xml:space="preserve"> календарного учебного плана МКОУ </w:t>
      </w:r>
      <w:proofErr w:type="spellStart"/>
      <w:r w:rsidRPr="00C93DBD">
        <w:rPr>
          <w:rFonts w:ascii="Times New Roman" w:eastAsia="Calibri" w:hAnsi="Times New Roman" w:cs="Times New Roman"/>
        </w:rPr>
        <w:t>Говорковской</w:t>
      </w:r>
      <w:proofErr w:type="spellEnd"/>
      <w:r w:rsidRPr="00C93DBD">
        <w:rPr>
          <w:rFonts w:ascii="Times New Roman" w:eastAsia="Calibri" w:hAnsi="Times New Roman" w:cs="Times New Roman"/>
        </w:rPr>
        <w:t xml:space="preserve"> школы -35 учебных недель, всего 70 часов</w:t>
      </w: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tbl>
      <w:tblPr>
        <w:tblW w:w="48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80"/>
        <w:gridCol w:w="1817"/>
      </w:tblGrid>
      <w:tr w:rsidR="00C93DBD" w:rsidRPr="00C93DBD" w:rsidTr="00C93DBD">
        <w:trPr>
          <w:trHeight w:val="360"/>
        </w:trPr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материала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час</w:t>
            </w:r>
          </w:p>
        </w:tc>
      </w:tr>
      <w:tr w:rsidR="00C93DBD" w:rsidRPr="00C93DBD" w:rsidTr="00C93DBD">
        <w:trPr>
          <w:trHeight w:val="20"/>
        </w:trPr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Повторение курса геометрии 7 класса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C93DBD" w:rsidRPr="00C93DBD" w:rsidTr="00C93DBD">
        <w:trPr>
          <w:trHeight w:val="265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3DBD">
              <w:rPr>
                <w:rFonts w:ascii="Times New Roman" w:eastAsia="Newton-Regular" w:hAnsi="Times New Roman" w:cs="Times New Roman"/>
                <w:lang w:eastAsia="ru-RU"/>
              </w:rPr>
              <w:t>Четырехугольники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C93DB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C93DBD" w:rsidRPr="00C93DBD" w:rsidTr="00C93DBD">
        <w:trPr>
          <w:trHeight w:val="281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lang w:eastAsia="ru-RU"/>
              </w:rPr>
              <w:t xml:space="preserve">Средняя линия треугольника. </w:t>
            </w:r>
            <w:r w:rsidRPr="00C93DBD">
              <w:rPr>
                <w:rFonts w:ascii="Times New Roman" w:eastAsia="Newton-Regular" w:hAnsi="Times New Roman" w:cs="Times New Roman"/>
                <w:lang w:eastAsia="ru-RU"/>
              </w:rPr>
              <w:t>Трапеция.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C93DBD" w:rsidRPr="00C93DBD" w:rsidTr="00C93DBD"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lang w:eastAsia="ru-RU"/>
              </w:rPr>
              <w:t>Центральные и вписанные углы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C93DBD" w:rsidRPr="00C93DBD" w:rsidTr="00C93DBD">
        <w:trPr>
          <w:trHeight w:val="227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Newton-Regular" w:hAnsi="Times New Roman" w:cs="Times New Roman"/>
                <w:lang w:eastAsia="ru-RU"/>
              </w:rPr>
            </w:pPr>
            <w:r w:rsidRPr="00C93DBD">
              <w:rPr>
                <w:rFonts w:ascii="Times New Roman" w:eastAsia="Newton-Regular" w:hAnsi="Times New Roman" w:cs="Times New Roman"/>
                <w:lang w:eastAsia="ru-RU"/>
              </w:rPr>
              <w:t>Подобные треугольники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C93DBD" w:rsidRPr="00C93DBD" w:rsidTr="00AB4255">
        <w:trPr>
          <w:trHeight w:val="320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93DBD">
              <w:rPr>
                <w:rFonts w:ascii="Times New Roman" w:eastAsia="Calibri" w:hAnsi="Times New Roman" w:cs="Times New Roman"/>
              </w:rPr>
              <w:t>Метрические соотношения в прямоугольном треугольнике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AB42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C93DBD" w:rsidRPr="00C93DBD" w:rsidTr="00C93DBD">
        <w:trPr>
          <w:trHeight w:val="340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suppressAutoHyphens/>
              <w:spacing w:after="0" w:line="240" w:lineRule="auto"/>
              <w:ind w:right="-9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C93DBD">
              <w:rPr>
                <w:rFonts w:ascii="Times New Roman" w:eastAsia="Calibri" w:hAnsi="Times New Roman" w:cs="Times New Roman"/>
              </w:rPr>
              <w:t>Тригонометрические функции острого угла</w:t>
            </w:r>
          </w:p>
          <w:p w:rsidR="00C93DBD" w:rsidRPr="00C93DBD" w:rsidRDefault="00C93DBD" w:rsidP="00C93D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C93DBD">
              <w:rPr>
                <w:rFonts w:ascii="Times New Roman" w:eastAsia="Calibri" w:hAnsi="Times New Roman" w:cs="Times New Roman"/>
              </w:rPr>
              <w:t>прямоугольного треугольника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3DBD">
              <w:rPr>
                <w:rFonts w:ascii="Times New Roman" w:eastAsia="Calibri" w:hAnsi="Times New Roman" w:cs="Times New Roman"/>
              </w:rPr>
              <w:t>Решение прямоугольных  треугольников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C93DBD" w:rsidRPr="00C93DBD" w:rsidTr="00AB4255">
        <w:trPr>
          <w:trHeight w:val="620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AB4255">
            <w:pPr>
              <w:suppressAutoHyphens/>
              <w:spacing w:after="0" w:line="240" w:lineRule="auto"/>
              <w:ind w:right="-99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BD" w:rsidRPr="00C93DBD" w:rsidRDefault="00C93DBD" w:rsidP="00C93DBD">
            <w:pPr>
              <w:rPr>
                <w:rFonts w:ascii="Times New Roman" w:eastAsia="Calibri" w:hAnsi="Times New Roman" w:cs="Times New Roman"/>
                <w:b/>
              </w:rPr>
            </w:pPr>
            <w:r w:rsidRPr="00C93DBD">
              <w:rPr>
                <w:rFonts w:ascii="Times New Roman" w:eastAsia="Calibri" w:hAnsi="Times New Roman" w:cs="Times New Roman"/>
              </w:rPr>
              <w:t>Многоугольники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3DBD">
              <w:rPr>
                <w:rFonts w:ascii="Times New Roman" w:eastAsia="Calibri" w:hAnsi="Times New Roman" w:cs="Times New Roman"/>
              </w:rPr>
              <w:t>Понятие площади многоугольника. Площадь прямоугольника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3DBD">
              <w:rPr>
                <w:rFonts w:ascii="Times New Roman" w:eastAsia="Calibri" w:hAnsi="Times New Roman" w:cs="Times New Roman"/>
              </w:rPr>
              <w:t>Площадь параллелограмма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3DBD">
              <w:rPr>
                <w:rFonts w:ascii="Times New Roman" w:eastAsia="Calibri" w:hAnsi="Times New Roman" w:cs="Times New Roman"/>
              </w:rPr>
              <w:t>Площадь треугольника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93DBD">
              <w:rPr>
                <w:rFonts w:ascii="Times New Roman" w:eastAsia="Calibri" w:hAnsi="Times New Roman" w:cs="Times New Roman"/>
              </w:rPr>
              <w:t xml:space="preserve"> </w:t>
            </w:r>
            <w:r w:rsidRPr="00C93DBD">
              <w:rPr>
                <w:rFonts w:ascii="Times New Roman" w:eastAsia="Calibri" w:hAnsi="Times New Roman" w:cs="Times New Roman"/>
              </w:rPr>
              <w:t>Площадь трапеции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</w:tr>
      <w:tr w:rsidR="00C93DBD" w:rsidRPr="00C93DBD" w:rsidTr="00AB4255">
        <w:trPr>
          <w:trHeight w:val="263"/>
        </w:trPr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ind w:left="-142" w:right="-9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Повторение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AB4255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C93DBD" w:rsidRPr="00C93DBD" w:rsidTr="00C93DBD">
        <w:trPr>
          <w:trHeight w:val="20"/>
        </w:trPr>
        <w:tc>
          <w:tcPr>
            <w:tcW w:w="41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93DBD" w:rsidRPr="00C93DBD" w:rsidRDefault="00C93DBD" w:rsidP="00C93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3D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</w:t>
            </w:r>
          </w:p>
        </w:tc>
      </w:tr>
    </w:tbl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93DBD" w:rsidRPr="00C93DBD" w:rsidRDefault="00C93DBD" w:rsidP="00C93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05D63" w:rsidRDefault="00AB4255"/>
    <w:sectPr w:rsidR="00205D63" w:rsidSect="00C93DB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BD"/>
    <w:rsid w:val="005E32D9"/>
    <w:rsid w:val="007C0406"/>
    <w:rsid w:val="00AB4255"/>
    <w:rsid w:val="00C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" TargetMode="Externa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2020-11-04T14:45:00Z</dcterms:created>
  <dcterms:modified xsi:type="dcterms:W3CDTF">2020-11-04T14:57:00Z</dcterms:modified>
</cp:coreProperties>
</file>